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400" w:lineRule="exact"/>
        <w:ind w:right="0" w:rightChars="0"/>
        <w:jc w:val="left"/>
        <w:textAlignment w:val="auto"/>
        <w:outlineLvl w:val="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pacing w:val="45"/>
          <w:sz w:val="24"/>
          <w:szCs w:val="24"/>
        </w:rPr>
        <w:t>浙江中医药大学第</w:t>
      </w:r>
      <w:r>
        <w:rPr>
          <w:rFonts w:hint="eastAsia" w:ascii="楷体_GB2312" w:hAnsi="楷体_GB2312" w:eastAsia="楷体_GB2312" w:cs="楷体_GB2312"/>
          <w:spacing w:val="45"/>
          <w:sz w:val="24"/>
          <w:szCs w:val="24"/>
          <w:lang w:val="en-US" w:eastAsia="zh-CN"/>
        </w:rPr>
        <w:t>十</w:t>
      </w:r>
      <w:r>
        <w:rPr>
          <w:rFonts w:hint="eastAsia" w:ascii="楷体_GB2312" w:hAnsi="楷体_GB2312" w:eastAsia="楷体_GB2312" w:cs="楷体_GB2312"/>
          <w:spacing w:val="45"/>
          <w:sz w:val="24"/>
          <w:szCs w:val="24"/>
        </w:rPr>
        <w:t>届教代</w:t>
      </w:r>
      <w:r>
        <w:rPr>
          <w:rFonts w:hint="eastAsia" w:ascii="楷体_GB2312" w:hAnsi="楷体_GB2312" w:eastAsia="楷体_GB2312" w:cs="楷体_GB2312"/>
          <w:sz w:val="24"/>
          <w:szCs w:val="24"/>
        </w:rPr>
        <w:t>会</w:t>
      </w:r>
      <w:r>
        <w:rPr>
          <w:rFonts w:hint="eastAsia" w:ascii="楷体_GB2312" w:hAnsi="楷体_GB2312" w:eastAsia="楷体_GB2312" w:cs="楷体_GB2312"/>
          <w:sz w:val="24"/>
          <w:szCs w:val="24"/>
        </w:rPr>
        <w:br w:type="textWrapping"/>
      </w:r>
      <w:r>
        <w:rPr>
          <w:rFonts w:hint="eastAsia" w:ascii="楷体_GB2312" w:hAnsi="楷体_GB2312" w:eastAsia="楷体_GB2312" w:cs="楷体_GB2312"/>
          <w:sz w:val="24"/>
          <w:szCs w:val="24"/>
        </w:rPr>
        <w:t>暨第十</w:t>
      </w:r>
      <w:r>
        <w:rPr>
          <w:rFonts w:hint="eastAsia" w:ascii="楷体_GB2312" w:hAnsi="楷体_GB2312" w:eastAsia="楷体_GB2312" w:cs="楷体_GB2312"/>
          <w:sz w:val="24"/>
          <w:szCs w:val="24"/>
          <w:lang w:val="en-US" w:eastAsia="zh-CN"/>
        </w:rPr>
        <w:t>二</w:t>
      </w:r>
      <w:r>
        <w:rPr>
          <w:rFonts w:hint="eastAsia" w:ascii="楷体_GB2312" w:hAnsi="楷体_GB2312" w:eastAsia="楷体_GB2312" w:cs="楷体_GB2312"/>
          <w:sz w:val="24"/>
          <w:szCs w:val="24"/>
        </w:rPr>
        <w:t>届工代会第</w:t>
      </w:r>
      <w:r>
        <w:rPr>
          <w:rFonts w:hint="eastAsia" w:ascii="楷体_GB2312" w:hAnsi="楷体_GB2312" w:eastAsia="楷体_GB2312" w:cs="楷体_GB2312"/>
          <w:sz w:val="24"/>
          <w:szCs w:val="24"/>
          <w:lang w:val="en-US" w:eastAsia="zh-CN"/>
        </w:rPr>
        <w:t>一</w:t>
      </w:r>
      <w:r>
        <w:rPr>
          <w:rFonts w:hint="eastAsia" w:ascii="楷体_GB2312" w:hAnsi="楷体_GB2312" w:eastAsia="楷体_GB2312" w:cs="楷体_GB2312"/>
          <w:sz w:val="24"/>
          <w:szCs w:val="24"/>
        </w:rPr>
        <w:t>次会议资料</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五）</w:t>
      </w:r>
      <w:bookmarkStart w:id="0" w:name="_GoBack"/>
      <w:bookmarkEnd w:id="0"/>
    </w:p>
    <w:p>
      <w:pPr>
        <w:keepNext w:val="0"/>
        <w:keepLines w:val="0"/>
        <w:pageBreakBefore w:val="0"/>
        <w:widowControl w:val="0"/>
        <w:kinsoku/>
        <w:wordWrap/>
        <w:overflowPunct/>
        <w:topLinePunct w:val="0"/>
        <w:autoSpaceDE/>
        <w:autoSpaceDN/>
        <w:bidi w:val="0"/>
        <w:adjustRightInd/>
        <w:snapToGrid/>
        <w:spacing w:line="90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556" w:lineRule="exact"/>
        <w:jc w:val="center"/>
        <w:textAlignment w:val="auto"/>
        <w:rPr>
          <w:rFonts w:hint="eastAsia" w:ascii="方正小标宋_GBK" w:hAnsi="方正小标宋_GBK" w:eastAsia="方正小标宋_GBK" w:cs="方正小标宋_GBK"/>
          <w:w w:val="100"/>
          <w:sz w:val="44"/>
          <w:szCs w:val="44"/>
        </w:rPr>
      </w:pPr>
      <w:r>
        <w:rPr>
          <w:rFonts w:hint="eastAsia" w:ascii="方正小标宋_GBK" w:hAnsi="方正小标宋_GBK" w:eastAsia="方正小标宋_GBK" w:cs="方正小标宋_GBK"/>
          <w:w w:val="100"/>
          <w:sz w:val="44"/>
          <w:szCs w:val="44"/>
        </w:rPr>
        <w:t>浙江中医药大学</w:t>
      </w:r>
      <w:r>
        <w:rPr>
          <w:rFonts w:hint="eastAsia" w:ascii="方正小标宋_GBK" w:hAnsi="方正小标宋_GBK" w:eastAsia="方正小标宋_GBK" w:cs="方正小标宋_GBK"/>
          <w:w w:val="100"/>
          <w:sz w:val="44"/>
          <w:szCs w:val="44"/>
        </w:rPr>
        <w:br w:type="textWrapping"/>
      </w:r>
      <w:r>
        <w:rPr>
          <w:rFonts w:hint="eastAsia" w:ascii="方正小标宋_GBK" w:hAnsi="方正小标宋_GBK" w:eastAsia="方正小标宋_GBK" w:cs="方正小标宋_GBK"/>
          <w:w w:val="100"/>
          <w:sz w:val="44"/>
          <w:szCs w:val="44"/>
        </w:rPr>
        <w:t>第十一届工会经费审查委员会工作报告</w:t>
      </w:r>
    </w:p>
    <w:p>
      <w:pPr>
        <w:keepNext w:val="0"/>
        <w:keepLines w:val="0"/>
        <w:pageBreakBefore w:val="0"/>
        <w:widowControl w:val="0"/>
        <w:kinsoku/>
        <w:wordWrap/>
        <w:overflowPunct w:val="0"/>
        <w:topLinePunct w:val="0"/>
        <w:autoSpaceDE/>
        <w:autoSpaceDN/>
        <w:bidi w:val="0"/>
        <w:adjustRightInd/>
        <w:snapToGrid/>
        <w:spacing w:line="556" w:lineRule="exact"/>
        <w:jc w:val="center"/>
        <w:textAlignment w:val="auto"/>
        <w:rPr>
          <w:rFonts w:hint="eastAsia" w:ascii="楷体_GB2312" w:hAnsi="楷体_GB2312" w:eastAsia="楷体_GB2312" w:cs="楷体_GB2312"/>
          <w:w w:val="100"/>
          <w:sz w:val="32"/>
          <w:szCs w:val="32"/>
        </w:rPr>
      </w:pPr>
      <w:r>
        <w:rPr>
          <w:rFonts w:hint="eastAsia" w:ascii="楷体_GB2312" w:hAnsi="楷体_GB2312" w:eastAsia="楷体_GB2312" w:cs="楷体_GB2312"/>
          <w:w w:val="100"/>
          <w:sz w:val="32"/>
          <w:szCs w:val="32"/>
        </w:rPr>
        <w:t>(2023年4月</w:t>
      </w:r>
      <w:r>
        <w:rPr>
          <w:rFonts w:hint="eastAsia" w:ascii="楷体_GB2312" w:hAnsi="楷体_GB2312" w:eastAsia="楷体_GB2312" w:cs="楷体_GB2312"/>
          <w:w w:val="100"/>
          <w:sz w:val="32"/>
          <w:szCs w:val="32"/>
          <w:lang w:val="en-US" w:eastAsia="zh-CN"/>
        </w:rPr>
        <w:t>7</w:t>
      </w:r>
      <w:r>
        <w:rPr>
          <w:rFonts w:hint="eastAsia" w:ascii="楷体_GB2312" w:hAnsi="楷体_GB2312" w:eastAsia="楷体_GB2312" w:cs="楷体_GB2312"/>
          <w:w w:val="100"/>
          <w:sz w:val="32"/>
          <w:szCs w:val="32"/>
        </w:rPr>
        <w:t>日)</w:t>
      </w:r>
    </w:p>
    <w:p>
      <w:pPr>
        <w:keepNext w:val="0"/>
        <w:keepLines w:val="0"/>
        <w:pageBreakBefore w:val="0"/>
        <w:widowControl w:val="0"/>
        <w:kinsoku/>
        <w:wordWrap/>
        <w:overflowPunct w:val="0"/>
        <w:topLinePunct w:val="0"/>
        <w:autoSpaceDE/>
        <w:autoSpaceDN/>
        <w:bidi w:val="0"/>
        <w:adjustRightInd/>
        <w:snapToGrid/>
        <w:spacing w:line="556" w:lineRule="exact"/>
        <w:jc w:val="center"/>
        <w:textAlignment w:val="auto"/>
        <w:rPr>
          <w:rFonts w:hint="eastAsia" w:ascii="楷体_GB2312" w:hAnsi="楷体_GB2312" w:eastAsia="楷体_GB2312" w:cs="楷体_GB2312"/>
          <w:w w:val="100"/>
          <w:sz w:val="32"/>
          <w:szCs w:val="32"/>
        </w:rPr>
      </w:pPr>
      <w:r>
        <w:rPr>
          <w:rFonts w:hint="eastAsia" w:ascii="楷体_GB2312" w:hAnsi="楷体_GB2312" w:eastAsia="楷体_GB2312" w:cs="楷体_GB2312"/>
          <w:w w:val="100"/>
          <w:sz w:val="32"/>
          <w:szCs w:val="32"/>
        </w:rPr>
        <w:t>陶其高</w:t>
      </w:r>
    </w:p>
    <w:p>
      <w:pPr>
        <w:keepNext w:val="0"/>
        <w:keepLines w:val="0"/>
        <w:pageBreakBefore w:val="0"/>
        <w:widowControl w:val="0"/>
        <w:kinsoku/>
        <w:wordWrap/>
        <w:overflowPunct w:val="0"/>
        <w:topLinePunct w:val="0"/>
        <w:autoSpaceDE/>
        <w:autoSpaceDN/>
        <w:bidi w:val="0"/>
        <w:adjustRightInd/>
        <w:snapToGrid/>
        <w:spacing w:line="556" w:lineRule="exact"/>
        <w:jc w:val="both"/>
        <w:textAlignment w:val="auto"/>
        <w:rPr>
          <w:rFonts w:hint="eastAsia" w:ascii="仿宋_GB2312" w:hAnsi="仿宋_GB2312" w:eastAsia="仿宋_GB2312" w:cs="仿宋_GB2312"/>
          <w:w w:val="100"/>
          <w:sz w:val="32"/>
          <w:szCs w:val="32"/>
        </w:rPr>
      </w:pPr>
    </w:p>
    <w:p>
      <w:pPr>
        <w:keepNext w:val="0"/>
        <w:keepLines w:val="0"/>
        <w:pageBreakBefore w:val="0"/>
        <w:widowControl w:val="0"/>
        <w:kinsoku/>
        <w:wordWrap/>
        <w:overflowPunct w:val="0"/>
        <w:topLinePunct w:val="0"/>
        <w:autoSpaceDE/>
        <w:autoSpaceDN/>
        <w:bidi w:val="0"/>
        <w:adjustRightInd/>
        <w:snapToGrid/>
        <w:spacing w:line="556" w:lineRule="exact"/>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各位代表：</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我受学校第十一届工会经费审查委员会委托，向大会报告经审工作，请予审议。</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黑体" w:hAnsi="黑体" w:eastAsia="黑体" w:cs="黑体"/>
          <w:w w:val="100"/>
          <w:sz w:val="32"/>
          <w:szCs w:val="32"/>
        </w:rPr>
      </w:pPr>
      <w:r>
        <w:rPr>
          <w:rFonts w:hint="eastAsia" w:ascii="黑体" w:hAnsi="黑体" w:eastAsia="黑体" w:cs="黑体"/>
          <w:w w:val="100"/>
          <w:sz w:val="32"/>
          <w:szCs w:val="32"/>
        </w:rPr>
        <w:t>一、校工会经费收支审查审计情况</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第十一届工会经费审查委员会对校工会经费进行了认真审查。认为，四年来校工会财务工作积极适应工会发展需要，不断加强财务管理工作，针对各类新情况、新问题，采取了多方面的有效措施。在工会经费的收缴、管理和使用等方面贯彻“增收节支、量入为出、统筹兼顾、保证重点”的工作原则，使工会经费做到了收支平衡，略有结余。</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经审定：2019年1月至2022年12月，校工会经费总收入为1733.03万元，较上一届1238.37万元增长39.94%。其中学校行政拨缴经费1244.39万元，占总收入的71.80%；上级工会补助收入251.21万元，占总收入的14.50%；会费收入186.14万元，占总收入的10.74%；事业收入20万元，占总收入的1.15%；其他收入31.29万元，占总收入的1.81%。</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2019年1月至2022年12月，校工会经费总支出1700.49万元，比上届1188.35万元增长43.10%，其中职工活动费1438.60万元，占总支出的84.61%；职工服务支出16.61万元，占总支出的0.98%；维权支出53.80万元（困难职工帮扶和送温暖），占总支出3.16%；业务支出59.25万元，占总支出的3.48%；资本性支出（设备购置费）2.59万元，占总支出的0.15%；其他支出129.64万元（主要是上级工会下拨资金转拨二级工会），占总支出的7.62%。从支出结构看，经费主要用于职工活动、困难职工帮扶和职工节日慰问等方面。</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截至2022年12月31日，本届工会经费收支结余 32.53万元，上届工会经费结余179.12万元，累计结余为211.65万元。</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过去四年，校工会根据新形势、新要求，不断完善管理制度，进一步加强财务管理工作，提高财务管理水平，按照“增收节支、量入为出、统筹兼顾、保证重点”的工作原则，逐步规范职工活动和职工各类慰问的标准和要求。同时加强与学校行政沟通，不断加大工会经费计拨力度，使学校拨缴经费数额稳步增长，有效保证了校工会各项工作的顺利开展。</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黑体" w:hAnsi="黑体" w:eastAsia="黑体" w:cs="黑体"/>
          <w:w w:val="100"/>
          <w:sz w:val="32"/>
          <w:szCs w:val="32"/>
        </w:rPr>
      </w:pPr>
      <w:r>
        <w:rPr>
          <w:rFonts w:hint="eastAsia" w:ascii="黑体" w:hAnsi="黑体" w:eastAsia="黑体" w:cs="黑体"/>
          <w:w w:val="100"/>
          <w:sz w:val="32"/>
          <w:szCs w:val="32"/>
        </w:rPr>
        <w:t>二、本届工会经审工作回顾</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学校第十一届工会经费审查委员会在省教育工会经费审查委员会的领导下，在校院两级工会的大力支持下，按照学校第十一届工会确定的目标任务，紧紧围绕工会工作，依法独立实施审查，认真履行审查监督职责，有效发挥经审组织在工会工作中的保障和监督作用，促进工会经济活动规范运作。</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楷体_GB2312" w:hAnsi="楷体_GB2312" w:eastAsia="楷体_GB2312" w:cs="楷体_GB2312"/>
          <w:b w:val="0"/>
          <w:bCs w:val="0"/>
          <w:w w:val="100"/>
          <w:sz w:val="32"/>
          <w:szCs w:val="32"/>
        </w:rPr>
        <w:t>（一）工会经费审查工作进一步推进。</w:t>
      </w:r>
      <w:r>
        <w:rPr>
          <w:rFonts w:hint="eastAsia" w:ascii="仿宋_GB2312" w:hAnsi="仿宋_GB2312" w:eastAsia="仿宋_GB2312" w:cs="仿宋_GB2312"/>
          <w:w w:val="100"/>
          <w:sz w:val="32"/>
          <w:szCs w:val="32"/>
        </w:rPr>
        <w:t>按照“依法审计、服务大局、突出重点、注重实效”的工作方针，工会经费审查机制进一步优化。一是进一步推进工会经费预算审查，每年按照规定开展工会经费预算方案审查，对预算的编制原则、经费的使用方向及额度等提出建议，优化预算支出结构，增强预算编制的合理性；二是工会经费预算执行与决算审计进一步推进，组织开展工会经费预算执行与决算审计，重点加大对执行《浙江省总工会关于加强和规范基层工会经费收支管理的实施细则》等规定和贯彻落实中央八项规定实施细则精神的审计监督，确保工会经费收支合法合规；三是工会计拨经费及上解情况审查进一步推进，经审委每年对本级工会计拨及上解经费进行审查，指出差距和原因，使学校拨缴经费数额稳步增长。</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楷体_GB2312" w:hAnsi="楷体_GB2312" w:eastAsia="楷体_GB2312" w:cs="楷体_GB2312"/>
          <w:b w:val="0"/>
          <w:bCs w:val="0"/>
          <w:w w:val="100"/>
          <w:sz w:val="32"/>
          <w:szCs w:val="32"/>
        </w:rPr>
        <w:t>（二）经审工作规范管理进一步加强。</w:t>
      </w:r>
      <w:r>
        <w:rPr>
          <w:rFonts w:hint="eastAsia" w:ascii="仿宋_GB2312" w:hAnsi="仿宋_GB2312" w:eastAsia="仿宋_GB2312" w:cs="仿宋_GB2312"/>
          <w:w w:val="100"/>
          <w:sz w:val="32"/>
          <w:szCs w:val="32"/>
        </w:rPr>
        <w:t>经审委注重规范化管理，继续实施工会经审工作“台帐化”管理，把“台帐”作为经审工作自我约束的载体，有效推进工会经审工作的开展和提高经审工作质量。</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楷体_GB2312" w:hAnsi="楷体_GB2312" w:eastAsia="楷体_GB2312" w:cs="楷体_GB2312"/>
          <w:b w:val="0"/>
          <w:bCs w:val="0"/>
          <w:w w:val="100"/>
          <w:sz w:val="32"/>
          <w:szCs w:val="32"/>
        </w:rPr>
        <w:t>（三）经审人员综合能力进一步提升。</w:t>
      </w:r>
      <w:r>
        <w:rPr>
          <w:rFonts w:hint="eastAsia" w:ascii="仿宋_GB2312" w:hAnsi="仿宋_GB2312" w:eastAsia="仿宋_GB2312" w:cs="仿宋_GB2312"/>
          <w:w w:val="100"/>
          <w:sz w:val="32"/>
          <w:szCs w:val="32"/>
        </w:rPr>
        <w:t>注重经审人员工作能力提升，积极组织人员参加上级工会经审委组织的业务培训和工会财务及审计业务学习，熟悉政策规定，同时通过多种途径组织经审人员进行业务交流和政策学习，进一步增强经审人员对工会经审工作的认识和提高自身业务水平。</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总结四年工作实践，我们的体会是：各级工会领导的重视和支持是做好经费审查工作的关键；经审人员的工作水平和素质是做好经审工作的基础；学校及下属单位行政经费的支持是做好工会工作的保证。在此，我代表校第十一届工会经费审查委员会，向校院两级经审工作人员致以崇高的敬意！向关心、支持工会经审工作的各位领导和工会干部表示衷心的感谢！</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四年来，学校经审工作取得一定成绩，但我们也清楚地看到目前工作中存在的差距与不足，如：经审人员业务水平需要进一步提高，全面深入二级工会指导有待加强，理论研究需进一步强化，这些都需要经审人员在今后的工作实践中，加强学习，拓展思路，切实加以改进。</w:t>
      </w:r>
    </w:p>
    <w:p>
      <w:pPr>
        <w:keepNext w:val="0"/>
        <w:keepLines w:val="0"/>
        <w:pageBreakBefore w:val="0"/>
        <w:widowControl w:val="0"/>
        <w:kinsoku/>
        <w:wordWrap/>
        <w:overflowPunct w:val="0"/>
        <w:topLinePunct w:val="0"/>
        <w:autoSpaceDE/>
        <w:autoSpaceDN/>
        <w:bidi w:val="0"/>
        <w:adjustRightInd/>
        <w:snapToGrid/>
        <w:spacing w:line="556" w:lineRule="exact"/>
        <w:ind w:firstLine="640" w:firstLineChars="200"/>
        <w:jc w:val="both"/>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各位代表，工会经审工作担负着对本级工会经费收支和财产管理情况进行审查监督的重要职责。我们坚信，新一届工会经费审查委员会在习近平新时代中国特色社会主义思想指导下，在各级工会组织的领导和全体工会经审人员的共同努力下，立足工会工作全局，围绕目标，勇于创新，全面履行审查监督职责，全面推进常态化经审监督体系建设，不断提高经审工作质量和开创我校工会经审工作新局面！</w:t>
      </w:r>
    </w:p>
    <w:p>
      <w:pPr>
        <w:rPr>
          <w:rFonts w:hint="default" w:ascii="Times New Roman" w:hAnsi="Times New Roman" w:eastAsia="仿宋_GB2312" w:cs="Times New Roman"/>
          <w:w w:val="100"/>
          <w:sz w:val="32"/>
          <w:szCs w:val="32"/>
        </w:rPr>
      </w:pPr>
    </w:p>
    <w:p>
      <w:pPr>
        <w:rPr>
          <w:rFonts w:hint="default" w:ascii="Times New Roman" w:hAnsi="Times New Roman" w:eastAsia="仿宋_GB2312" w:cs="Times New Roman"/>
          <w:w w:val="100"/>
          <w:sz w:val="32"/>
          <w:szCs w:val="32"/>
        </w:rPr>
      </w:pPr>
      <w:r>
        <w:rPr>
          <w:rFonts w:hint="default" w:ascii="Times New Roman" w:hAnsi="Times New Roman" w:eastAsia="仿宋_GB2312" w:cs="Times New Roman"/>
          <w:w w:val="100"/>
          <w:sz w:val="32"/>
          <w:szCs w:val="32"/>
        </w:rPr>
        <w:br w:type="page"/>
      </w:r>
    </w:p>
    <w:p>
      <w:pPr>
        <w:spacing w:line="560" w:lineRule="exact"/>
        <w:jc w:val="center"/>
        <w:rPr>
          <w:rFonts w:hint="eastAsia" w:ascii="黑体" w:hAnsi="黑体" w:eastAsia="黑体" w:cs="黑体"/>
          <w:szCs w:val="32"/>
        </w:rPr>
      </w:pPr>
      <w:r>
        <w:rPr>
          <w:rFonts w:hint="eastAsia" w:ascii="黑体" w:hAnsi="黑体" w:eastAsia="黑体" w:cs="黑体"/>
          <w:szCs w:val="32"/>
        </w:rPr>
        <w:t>浙江中医药大学工会经费收支明细表</w:t>
      </w:r>
    </w:p>
    <w:p>
      <w:pPr>
        <w:spacing w:line="560" w:lineRule="exact"/>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金额单位：元</w:t>
      </w:r>
    </w:p>
    <w:tbl>
      <w:tblPr>
        <w:tblStyle w:val="10"/>
        <w:tblW w:w="10282" w:type="dxa"/>
        <w:jc w:val="center"/>
        <w:tblLayout w:type="autofit"/>
        <w:tblCellMar>
          <w:top w:w="0" w:type="dxa"/>
          <w:left w:w="108" w:type="dxa"/>
          <w:bottom w:w="0" w:type="dxa"/>
          <w:right w:w="108" w:type="dxa"/>
        </w:tblCellMar>
      </w:tblPr>
      <w:tblGrid>
        <w:gridCol w:w="2507"/>
        <w:gridCol w:w="1580"/>
        <w:gridCol w:w="1560"/>
        <w:gridCol w:w="1540"/>
        <w:gridCol w:w="1600"/>
        <w:gridCol w:w="1495"/>
      </w:tblGrid>
      <w:tr>
        <w:tblPrEx>
          <w:tblCellMar>
            <w:top w:w="0" w:type="dxa"/>
            <w:left w:w="108" w:type="dxa"/>
            <w:bottom w:w="0" w:type="dxa"/>
            <w:right w:w="108" w:type="dxa"/>
          </w:tblCellMar>
        </w:tblPrEx>
        <w:trPr>
          <w:trHeight w:val="390" w:hRule="atLeast"/>
          <w:jc w:val="center"/>
        </w:trPr>
        <w:tc>
          <w:tcPr>
            <w:tcW w:w="25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项目</w:t>
            </w:r>
          </w:p>
        </w:tc>
        <w:tc>
          <w:tcPr>
            <w:tcW w:w="777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金额</w:t>
            </w:r>
          </w:p>
        </w:tc>
      </w:tr>
      <w:tr>
        <w:tblPrEx>
          <w:tblCellMar>
            <w:top w:w="0" w:type="dxa"/>
            <w:left w:w="108" w:type="dxa"/>
            <w:bottom w:w="0" w:type="dxa"/>
            <w:right w:w="108" w:type="dxa"/>
          </w:tblCellMar>
        </w:tblPrEx>
        <w:trPr>
          <w:trHeight w:val="319" w:hRule="atLeast"/>
          <w:jc w:val="center"/>
        </w:trPr>
        <w:tc>
          <w:tcPr>
            <w:tcW w:w="2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黑体" w:eastAsia="黑体" w:cs="黑体"/>
                <w:color w:val="000000"/>
                <w:kern w:val="0"/>
                <w:sz w:val="18"/>
                <w:szCs w:val="18"/>
              </w:rPr>
            </w:pPr>
          </w:p>
        </w:tc>
        <w:tc>
          <w:tcPr>
            <w:tcW w:w="15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2019年</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2020年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2021年</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2022年</w:t>
            </w:r>
          </w:p>
        </w:tc>
        <w:tc>
          <w:tcPr>
            <w:tcW w:w="149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黑体" w:hAnsi="黑体" w:eastAsia="黑体" w:cs="黑体"/>
                <w:color w:val="000000"/>
                <w:kern w:val="0"/>
                <w:sz w:val="18"/>
                <w:szCs w:val="18"/>
              </w:rPr>
            </w:pPr>
            <w:r>
              <w:rPr>
                <w:rFonts w:hint="eastAsia" w:ascii="黑体" w:hAnsi="黑体" w:eastAsia="黑体" w:cs="黑体"/>
                <w:color w:val="000000"/>
                <w:kern w:val="0"/>
                <w:sz w:val="18"/>
                <w:szCs w:val="18"/>
              </w:rPr>
              <w:t>合计</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auto" w:sz="4" w:space="0"/>
              <w:bottom w:val="single" w:color="auto" w:sz="4" w:space="0"/>
              <w:right w:val="single" w:color="auto" w:sz="4" w:space="0"/>
            </w:tcBorders>
            <w:shd w:val="clear" w:color="auto" w:fill="auto"/>
            <w:vAlign w:val="center"/>
          </w:tcPr>
          <w:p>
            <w:pPr>
              <w:widowControl/>
              <w:jc w:val="both"/>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一、收入</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3,778,435.91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4,286,901.07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4,119,020.31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5,145,908.30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17,330,265.59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1.会费收入</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315,695.10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460,354.83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500,764.26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584,596.65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1,861,410.84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2.拨缴经费收入</w:t>
            </w:r>
          </w:p>
        </w:tc>
        <w:tc>
          <w:tcPr>
            <w:tcW w:w="15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3,023,764.93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2,999,216.60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3,114,562.04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3,306,305.12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12,443,848.69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3.上级补助收入</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324,250.00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712,200.00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228,251.44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1,247,442.00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2,512,143.44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4.事业收入</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200,000.00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200,000.00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5.其他收入</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114,725.88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115,129.64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75,442.57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7,564.53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312,862.62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both"/>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3,431,806.41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4,465,005.48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4,140,486.44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4,967,611.58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17,004,909.91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1.职工活动支出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3,052,497.71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3,766,875.08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3,936,127.95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3,630,463.60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14,385,964.34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职工教育支出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18,250.00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17,448.00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35,698.00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文体活动支出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1,240,783.70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1,213,016.58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1,261,234.38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623,077.31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4,338,111.97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宣传活动支出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124,983.80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116,100.00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170,982.59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75,299.00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487,365.39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会员活动支出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2,845,148.79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2,845,148.79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其他活动支出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1,668,480.21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2,437,758.50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2,486,462.98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86,938.50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6,679,640.19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2.职工服务支出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166,132.80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166,132.80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劳动和技能竞赛活动支出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51,474.00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51,474.00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建家活动支出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11,102.84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11,102.84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职工创新活动支出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35,335.96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35,335.96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其他服务支出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68,220.00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68,220.00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3.维权支出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189,860.00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141,000.00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94,000.00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113,157.10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538,017.10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劳动保护支出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13,500.00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13,500.00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困难职工帮扶支出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189,860.00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102,000.00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44,000.00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37,500.00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373,360.00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送温暖支出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39,000.00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50,000.00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62,157.10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151,157.10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其他维权支出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4.业务支出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183,234.70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180,992.40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110,358.49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117,887.80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592,473.39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培训支出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9,630.00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1,247.00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5,709.00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16,586.00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专项业务支出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161,438.70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102,743.90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96,653.51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53,480.00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414,316.11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其他业务支出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12,166.00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77,001.50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7,995.98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64,407.80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161,571.28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5.资本性支出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899.00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16,138.00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8,926.00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25,963.00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办公设备购置</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899.00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14,558.00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8,926.00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24,383.00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专用设备设置</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1,580.00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1,580.00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其他资本性支出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6.其他支出</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5,315.00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360,000.00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931,044.28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1,296,359.28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both"/>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三、收支结余</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346,629.50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-178,104.41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-21,466.13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178,296.72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325,355.68 </w:t>
            </w:r>
          </w:p>
        </w:tc>
      </w:tr>
      <w:tr>
        <w:tblPrEx>
          <w:tblCellMar>
            <w:top w:w="0" w:type="dxa"/>
            <w:left w:w="108" w:type="dxa"/>
            <w:bottom w:w="0" w:type="dxa"/>
            <w:right w:w="108" w:type="dxa"/>
          </w:tblCellMar>
        </w:tblPrEx>
        <w:trPr>
          <w:trHeight w:val="319"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both"/>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四、以前年度结余</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1,791,209.71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2,137,839.21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1,959,734.80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1,938,268.67 </w:t>
            </w:r>
          </w:p>
        </w:tc>
        <w:tc>
          <w:tcPr>
            <w:tcW w:w="14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1,791,209.71 </w:t>
            </w:r>
          </w:p>
        </w:tc>
      </w:tr>
      <w:tr>
        <w:tblPrEx>
          <w:tblCellMar>
            <w:top w:w="0" w:type="dxa"/>
            <w:left w:w="108" w:type="dxa"/>
            <w:bottom w:w="0" w:type="dxa"/>
            <w:right w:w="108" w:type="dxa"/>
          </w:tblCellMar>
        </w:tblPrEx>
        <w:trPr>
          <w:trHeight w:val="342" w:hRule="atLeast"/>
          <w:jc w:val="center"/>
        </w:trPr>
        <w:tc>
          <w:tcPr>
            <w:tcW w:w="2507" w:type="dxa"/>
            <w:tcBorders>
              <w:top w:val="nil"/>
              <w:left w:val="single" w:color="000000" w:sz="4" w:space="0"/>
              <w:bottom w:val="single" w:color="000000" w:sz="4" w:space="0"/>
              <w:right w:val="nil"/>
            </w:tcBorders>
            <w:shd w:val="clear" w:color="auto" w:fill="auto"/>
            <w:vAlign w:val="center"/>
          </w:tcPr>
          <w:p>
            <w:pPr>
              <w:widowControl/>
              <w:jc w:val="both"/>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五、期末滚存结余（=三+四）</w:t>
            </w:r>
          </w:p>
        </w:tc>
        <w:tc>
          <w:tcPr>
            <w:tcW w:w="158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2,137,839.21 </w:t>
            </w:r>
          </w:p>
        </w:tc>
        <w:tc>
          <w:tcPr>
            <w:tcW w:w="15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1,959,734.80 </w:t>
            </w:r>
          </w:p>
        </w:tc>
        <w:tc>
          <w:tcPr>
            <w:tcW w:w="15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1,938,268.67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2,116,565.39 </w:t>
            </w:r>
          </w:p>
        </w:tc>
        <w:tc>
          <w:tcPr>
            <w:tcW w:w="1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2,116,565.39 </w:t>
            </w:r>
          </w:p>
        </w:tc>
      </w:tr>
    </w:tbl>
    <w:p>
      <w:pPr>
        <w:spacing w:line="560" w:lineRule="exact"/>
        <w:rPr>
          <w:rFonts w:ascii="方正小标宋简体" w:hAnsi="方正小标宋简体" w:eastAsia="方正小标宋简体" w:cs="方正小标宋简体"/>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default" w:ascii="Times New Roman" w:hAnsi="Times New Roman" w:eastAsia="仿宋"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JmNmJjZTNkNGFlMzNlMGRiZDY0NGY5YjE0ZTVhYTkifQ=="/>
  </w:docVars>
  <w:rsids>
    <w:rsidRoot w:val="4BB61AAA"/>
    <w:rsid w:val="00105A84"/>
    <w:rsid w:val="002B194E"/>
    <w:rsid w:val="00343AF4"/>
    <w:rsid w:val="003938B5"/>
    <w:rsid w:val="003B3A03"/>
    <w:rsid w:val="003C4ED9"/>
    <w:rsid w:val="003D0B80"/>
    <w:rsid w:val="004D468C"/>
    <w:rsid w:val="00603BFD"/>
    <w:rsid w:val="006857A3"/>
    <w:rsid w:val="00767057"/>
    <w:rsid w:val="007A63BB"/>
    <w:rsid w:val="00811145"/>
    <w:rsid w:val="008500A6"/>
    <w:rsid w:val="00910823"/>
    <w:rsid w:val="009320B6"/>
    <w:rsid w:val="00953D46"/>
    <w:rsid w:val="009C5851"/>
    <w:rsid w:val="00A05684"/>
    <w:rsid w:val="00A14DD5"/>
    <w:rsid w:val="00A62245"/>
    <w:rsid w:val="00A92DC0"/>
    <w:rsid w:val="00AC7616"/>
    <w:rsid w:val="00AE36C3"/>
    <w:rsid w:val="00B30754"/>
    <w:rsid w:val="00BB610A"/>
    <w:rsid w:val="00C31B3F"/>
    <w:rsid w:val="00C74FC4"/>
    <w:rsid w:val="00D515AA"/>
    <w:rsid w:val="00DC4F1C"/>
    <w:rsid w:val="00E25196"/>
    <w:rsid w:val="00ED14BB"/>
    <w:rsid w:val="00F03708"/>
    <w:rsid w:val="00FC1E72"/>
    <w:rsid w:val="06C80299"/>
    <w:rsid w:val="06DA72CF"/>
    <w:rsid w:val="3B8217FE"/>
    <w:rsid w:val="42F942B4"/>
    <w:rsid w:val="49411571"/>
    <w:rsid w:val="49D52A4A"/>
    <w:rsid w:val="4BB61AAA"/>
    <w:rsid w:val="5E891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color w:val="000000"/>
      <w:kern w:val="0"/>
      <w:szCs w:val="20"/>
    </w:rPr>
  </w:style>
  <w:style w:type="paragraph" w:styleId="3">
    <w:name w:val="Body Text"/>
    <w:basedOn w:val="1"/>
    <w:next w:val="4"/>
    <w:unhideWhenUsed/>
    <w:qFormat/>
    <w:uiPriority w:val="99"/>
    <w:pPr>
      <w:ind w:left="214"/>
    </w:pPr>
    <w:rPr>
      <w:szCs w:val="32"/>
    </w:rPr>
  </w:style>
  <w:style w:type="paragraph" w:styleId="4">
    <w:name w:val="index 7"/>
    <w:basedOn w:val="1"/>
    <w:next w:val="1"/>
    <w:unhideWhenUsed/>
    <w:qFormat/>
    <w:uiPriority w:val="99"/>
    <w:pPr>
      <w:ind w:left="2520"/>
    </w:pPr>
  </w:style>
  <w:style w:type="paragraph" w:styleId="6">
    <w:name w:val="Balloon Text"/>
    <w:basedOn w:val="1"/>
    <w:link w:val="15"/>
    <w:qFormat/>
    <w:uiPriority w:val="0"/>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customStyle="1" w:styleId="13">
    <w:name w:val="页眉 Char"/>
    <w:basedOn w:val="11"/>
    <w:link w:val="8"/>
    <w:qFormat/>
    <w:uiPriority w:val="0"/>
    <w:rPr>
      <w:rFonts w:eastAsia="仿宋" w:asciiTheme="minorHAnsi" w:hAnsiTheme="minorHAnsi" w:cstheme="minorBidi"/>
      <w:kern w:val="2"/>
      <w:sz w:val="18"/>
      <w:szCs w:val="18"/>
    </w:rPr>
  </w:style>
  <w:style w:type="character" w:customStyle="1" w:styleId="14">
    <w:name w:val="页脚 Char"/>
    <w:basedOn w:val="11"/>
    <w:link w:val="7"/>
    <w:qFormat/>
    <w:uiPriority w:val="99"/>
    <w:rPr>
      <w:rFonts w:eastAsia="仿宋" w:asciiTheme="minorHAnsi" w:hAnsiTheme="minorHAnsi" w:cstheme="minorBidi"/>
      <w:kern w:val="2"/>
      <w:sz w:val="18"/>
      <w:szCs w:val="18"/>
    </w:rPr>
  </w:style>
  <w:style w:type="character" w:customStyle="1" w:styleId="15">
    <w:name w:val="批注框文本 Char"/>
    <w:basedOn w:val="11"/>
    <w:link w:val="6"/>
    <w:qFormat/>
    <w:uiPriority w:val="0"/>
    <w:rPr>
      <w:rFonts w:eastAsia="仿宋"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2323</Words>
  <Characters>3724</Characters>
  <Lines>38</Lines>
  <Paragraphs>10</Paragraphs>
  <TotalTime>3</TotalTime>
  <ScaleCrop>false</ScaleCrop>
  <LinksUpToDate>false</LinksUpToDate>
  <CharactersWithSpaces>5092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2023-02-21T01:29:00Z</dcterms:created>
  <dc:creator>祝文斌</dc:creator>
  <cp:lastModifiedBy>青云印刷</cp:lastModifiedBy>
  <dcterms:modified xsi:type="dcterms:W3CDTF">2023-04-04T06:23:08Z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F4C69354DC67432BB7A20E0B823E4FED</vt:lpwstr>
  </property>
</Properties>
</file>